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DD8CF2" w14:textId="55796544" w:rsidR="00C6675C" w:rsidRPr="00C1635B" w:rsidRDefault="00C6675C" w:rsidP="0058170C">
      <w:pPr>
        <w:jc w:val="both"/>
        <w:rPr>
          <w:sz w:val="44"/>
          <w:szCs w:val="44"/>
        </w:rPr>
      </w:pPr>
      <w:r w:rsidRPr="00C1635B">
        <w:rPr>
          <w:sz w:val="44"/>
          <w:szCs w:val="44"/>
        </w:rPr>
        <w:t xml:space="preserve">Annex 1 </w:t>
      </w:r>
    </w:p>
    <w:p w14:paraId="75E04987" w14:textId="133DFBBB" w:rsidR="00C6675C" w:rsidRDefault="00C6675C" w:rsidP="0058170C">
      <w:pPr>
        <w:jc w:val="both"/>
      </w:pPr>
      <w:r>
        <w:t xml:space="preserve">Special conditions based on article 18 of the license conditions </w:t>
      </w:r>
      <w:r>
        <w:rPr>
          <w:spacing w:val="-10"/>
        </w:rPr>
        <w:t xml:space="preserve">OGL / </w:t>
      </w:r>
      <w:r w:rsidR="00D005AC">
        <w:rPr>
          <w:spacing w:val="-10"/>
        </w:rPr>
        <w:t>2023</w:t>
      </w:r>
      <w:r>
        <w:rPr>
          <w:spacing w:val="-10"/>
        </w:rPr>
        <w:t xml:space="preserve"> / </w:t>
      </w:r>
      <w:r w:rsidR="00D005AC">
        <w:rPr>
          <w:spacing w:val="-10"/>
        </w:rPr>
        <w:t>115</w:t>
      </w:r>
      <w:r>
        <w:rPr>
          <w:spacing w:val="-10"/>
        </w:rPr>
        <w:t xml:space="preserve"> / </w:t>
      </w:r>
      <w:r w:rsidR="00D005AC">
        <w:rPr>
          <w:spacing w:val="-10"/>
        </w:rPr>
        <w:t>0092</w:t>
      </w:r>
      <w:r>
        <w:rPr>
          <w:spacing w:val="-10"/>
        </w:rPr>
        <w:t>.</w:t>
      </w:r>
    </w:p>
    <w:p w14:paraId="59E8C88C" w14:textId="77777777" w:rsidR="00C6675C" w:rsidRDefault="00C6675C" w:rsidP="0058170C">
      <w:pPr>
        <w:jc w:val="both"/>
      </w:pPr>
    </w:p>
    <w:tbl>
      <w:tblPr>
        <w:tblStyle w:val="TableGrid"/>
        <w:tblW w:w="9111" w:type="dxa"/>
        <w:tblLook w:val="04A0" w:firstRow="1" w:lastRow="0" w:firstColumn="1" w:lastColumn="0" w:noHBand="0" w:noVBand="1"/>
      </w:tblPr>
      <w:tblGrid>
        <w:gridCol w:w="1129"/>
        <w:gridCol w:w="4945"/>
        <w:gridCol w:w="3037"/>
      </w:tblGrid>
      <w:tr w:rsidR="00C6675C" w14:paraId="1292C1AD" w14:textId="77777777" w:rsidTr="0058170C">
        <w:trPr>
          <w:trHeight w:val="663"/>
        </w:trPr>
        <w:tc>
          <w:tcPr>
            <w:tcW w:w="1129" w:type="dxa"/>
          </w:tcPr>
          <w:p w14:paraId="321993D9" w14:textId="6B900FF1" w:rsidR="00C6675C" w:rsidRDefault="00C6675C" w:rsidP="0058170C">
            <w:pPr>
              <w:jc w:val="both"/>
            </w:pPr>
            <w:r>
              <w:t>Number</w:t>
            </w:r>
          </w:p>
        </w:tc>
        <w:tc>
          <w:tcPr>
            <w:tcW w:w="4945" w:type="dxa"/>
          </w:tcPr>
          <w:p w14:paraId="1A49C35A" w14:textId="3C0F9337" w:rsidR="00C6675C" w:rsidRDefault="00C6675C" w:rsidP="0058170C">
            <w:pPr>
              <w:jc w:val="both"/>
            </w:pPr>
            <w:r>
              <w:t>Requirement</w:t>
            </w:r>
          </w:p>
        </w:tc>
        <w:tc>
          <w:tcPr>
            <w:tcW w:w="3037" w:type="dxa"/>
          </w:tcPr>
          <w:p w14:paraId="1AD80D2B" w14:textId="6D6D361B" w:rsidR="00C6675C" w:rsidRDefault="00C6675C" w:rsidP="0058170C">
            <w:pPr>
              <w:jc w:val="both"/>
            </w:pPr>
            <w:r>
              <w:t xml:space="preserve">Deadline to submit </w:t>
            </w:r>
          </w:p>
        </w:tc>
      </w:tr>
      <w:tr w:rsidR="00757EF0" w14:paraId="64B244C8" w14:textId="77777777" w:rsidTr="0058170C">
        <w:trPr>
          <w:trHeight w:val="663"/>
        </w:trPr>
        <w:tc>
          <w:tcPr>
            <w:tcW w:w="1129" w:type="dxa"/>
          </w:tcPr>
          <w:p w14:paraId="0A0424B8" w14:textId="7EA149B0" w:rsidR="00757EF0" w:rsidRDefault="00757EF0" w:rsidP="0058170C">
            <w:pPr>
              <w:jc w:val="both"/>
            </w:pPr>
            <w:r>
              <w:t>1</w:t>
            </w:r>
          </w:p>
        </w:tc>
        <w:tc>
          <w:tcPr>
            <w:tcW w:w="4945" w:type="dxa"/>
          </w:tcPr>
          <w:p w14:paraId="15F3AE35" w14:textId="48FBACBE" w:rsidR="00757EF0" w:rsidRPr="009069C3" w:rsidRDefault="00757EF0" w:rsidP="00757EF0">
            <w:r>
              <w:t>T</w:t>
            </w:r>
            <w:r w:rsidRPr="009069C3">
              <w:t>o insert into the DNS server the token for each of the applicant’s domain(s) in accordance with the user guidelines.</w:t>
            </w:r>
          </w:p>
          <w:p w14:paraId="5C014FAE" w14:textId="77777777" w:rsidR="00757EF0" w:rsidRDefault="00757EF0" w:rsidP="00373BA5"/>
        </w:tc>
        <w:tc>
          <w:tcPr>
            <w:tcW w:w="3037" w:type="dxa"/>
          </w:tcPr>
          <w:p w14:paraId="395A9FD3" w14:textId="2D67B541" w:rsidR="00757EF0" w:rsidRDefault="00757EF0" w:rsidP="0058170C">
            <w:pPr>
              <w:jc w:val="both"/>
            </w:pPr>
            <w:r>
              <w:t>One week after the date of this letter</w:t>
            </w:r>
          </w:p>
        </w:tc>
      </w:tr>
      <w:tr w:rsidR="009C7B66" w14:paraId="27F1BA7B" w14:textId="77777777" w:rsidTr="0058170C">
        <w:trPr>
          <w:trHeight w:val="663"/>
        </w:trPr>
        <w:tc>
          <w:tcPr>
            <w:tcW w:w="1129" w:type="dxa"/>
          </w:tcPr>
          <w:p w14:paraId="39A90906" w14:textId="69A4DF99" w:rsidR="009C7B66" w:rsidRDefault="00757EF0" w:rsidP="0058170C">
            <w:pPr>
              <w:jc w:val="both"/>
            </w:pPr>
            <w:r>
              <w:t>2</w:t>
            </w:r>
          </w:p>
        </w:tc>
        <w:tc>
          <w:tcPr>
            <w:tcW w:w="4945" w:type="dxa"/>
          </w:tcPr>
          <w:p w14:paraId="2DF00E62" w14:textId="12614699" w:rsidR="00373BA5" w:rsidRDefault="00373BA5" w:rsidP="00373BA5">
            <w:pPr>
              <w:rPr>
                <w:b/>
              </w:rPr>
            </w:pPr>
            <w:r>
              <w:t xml:space="preserve">To notify the GCB in connection with any of its live wagering domains, </w:t>
            </w:r>
            <w:proofErr w:type="spellStart"/>
            <w:r>
              <w:t>its</w:t>
            </w:r>
            <w:proofErr w:type="spellEnd"/>
            <w:r>
              <w:t xml:space="preserve"> up to date management accounts  (fiat or crypto) , its balance sheet customer funds segregation and simple cash flow statement</w:t>
            </w:r>
            <w:r w:rsidDel="00B83326">
              <w:t xml:space="preserve"> </w:t>
            </w:r>
          </w:p>
          <w:p w14:paraId="24CBF789" w14:textId="759D486A" w:rsidR="009C7B66" w:rsidRDefault="009C7B66" w:rsidP="0058170C">
            <w:pPr>
              <w:jc w:val="both"/>
            </w:pPr>
          </w:p>
        </w:tc>
        <w:tc>
          <w:tcPr>
            <w:tcW w:w="3037" w:type="dxa"/>
          </w:tcPr>
          <w:p w14:paraId="3FE3F9C4" w14:textId="460E2E00" w:rsidR="009C7B66" w:rsidRDefault="0068490B" w:rsidP="0058170C">
            <w:pPr>
              <w:jc w:val="both"/>
            </w:pPr>
            <w:r>
              <w:t>Two weeks after the date of this letter</w:t>
            </w:r>
          </w:p>
        </w:tc>
      </w:tr>
      <w:tr w:rsidR="00B43731" w14:paraId="37130A81" w14:textId="77777777" w:rsidTr="0058170C">
        <w:trPr>
          <w:trHeight w:val="663"/>
        </w:trPr>
        <w:tc>
          <w:tcPr>
            <w:tcW w:w="1129" w:type="dxa"/>
          </w:tcPr>
          <w:p w14:paraId="326C90C2" w14:textId="555FE483" w:rsidR="00B43731" w:rsidRDefault="00757EF0" w:rsidP="00B43731">
            <w:pPr>
              <w:jc w:val="both"/>
            </w:pPr>
            <w:r>
              <w:t>3</w:t>
            </w:r>
          </w:p>
        </w:tc>
        <w:tc>
          <w:tcPr>
            <w:tcW w:w="4945" w:type="dxa"/>
          </w:tcPr>
          <w:p w14:paraId="040209F7" w14:textId="07C5D668" w:rsidR="00B43731" w:rsidRDefault="00B43731" w:rsidP="00B43731">
            <w:pPr>
              <w:rPr>
                <w:b/>
              </w:rPr>
            </w:pPr>
            <w:r>
              <w:t>Demonstrate how Stylianos Andreau intends to fund the business and details of the loan he has referenced in his application as well as his CV demonstrating the gaming experience referenced in the applicant’s business plan as well as (</w:t>
            </w:r>
            <w:proofErr w:type="spellStart"/>
            <w:r>
              <w:t>i</w:t>
            </w:r>
            <w:proofErr w:type="spellEnd"/>
            <w:r>
              <w:t>) his partners also referenced in the business plan; and (ii) an explanation as to why these not disclosed as part of the application</w:t>
            </w:r>
          </w:p>
          <w:p w14:paraId="09FA2192" w14:textId="77777777" w:rsidR="00B43731" w:rsidRDefault="00B43731" w:rsidP="00B43731"/>
        </w:tc>
        <w:tc>
          <w:tcPr>
            <w:tcW w:w="3037" w:type="dxa"/>
          </w:tcPr>
          <w:p w14:paraId="5BE68F44" w14:textId="4F8D2CBF" w:rsidR="00B43731" w:rsidRDefault="00B43731" w:rsidP="00B43731">
            <w:pPr>
              <w:jc w:val="both"/>
            </w:pPr>
            <w:r>
              <w:t>Two weeks after the date of this letter</w:t>
            </w:r>
          </w:p>
        </w:tc>
      </w:tr>
      <w:tr w:rsidR="0054781F" w14:paraId="7AC5E195" w14:textId="77777777" w:rsidTr="0058170C">
        <w:trPr>
          <w:trHeight w:val="663"/>
        </w:trPr>
        <w:tc>
          <w:tcPr>
            <w:tcW w:w="1129" w:type="dxa"/>
          </w:tcPr>
          <w:p w14:paraId="1E0017FC" w14:textId="3C140F3B" w:rsidR="0054781F" w:rsidRDefault="00757EF0" w:rsidP="00B43731">
            <w:pPr>
              <w:jc w:val="both"/>
            </w:pPr>
            <w:r>
              <w:t>4</w:t>
            </w:r>
          </w:p>
        </w:tc>
        <w:tc>
          <w:tcPr>
            <w:tcW w:w="4945" w:type="dxa"/>
          </w:tcPr>
          <w:p w14:paraId="146C05B8" w14:textId="7CA5C7C9" w:rsidR="0054781F" w:rsidRDefault="0054781F" w:rsidP="0054781F">
            <w:pPr>
              <w:rPr>
                <w:b/>
              </w:rPr>
            </w:pPr>
            <w:r>
              <w:t>Notify the GCB if it intends to utilize its sub-license with GSP and, if so, what is its intended rationale for the split of the business</w:t>
            </w:r>
          </w:p>
          <w:p w14:paraId="04A4D207" w14:textId="77777777" w:rsidR="0054781F" w:rsidRDefault="0054781F" w:rsidP="0054781F"/>
        </w:tc>
        <w:tc>
          <w:tcPr>
            <w:tcW w:w="3037" w:type="dxa"/>
          </w:tcPr>
          <w:p w14:paraId="421A01DA" w14:textId="7A8028A5" w:rsidR="0054781F" w:rsidRDefault="0054781F" w:rsidP="00B43731">
            <w:pPr>
              <w:jc w:val="both"/>
            </w:pPr>
            <w:r>
              <w:t>Three weeks after the date of this letter</w:t>
            </w:r>
          </w:p>
        </w:tc>
      </w:tr>
      <w:tr w:rsidR="00B43731" w14:paraId="3EE5D440" w14:textId="77777777" w:rsidTr="0058170C">
        <w:trPr>
          <w:trHeight w:val="663"/>
        </w:trPr>
        <w:tc>
          <w:tcPr>
            <w:tcW w:w="1129" w:type="dxa"/>
          </w:tcPr>
          <w:p w14:paraId="346F84C2" w14:textId="55CC6634" w:rsidR="00B43731" w:rsidRDefault="00757EF0" w:rsidP="00B43731">
            <w:pPr>
              <w:jc w:val="both"/>
            </w:pPr>
            <w:r>
              <w:t>5</w:t>
            </w:r>
          </w:p>
        </w:tc>
        <w:tc>
          <w:tcPr>
            <w:tcW w:w="4945" w:type="dxa"/>
          </w:tcPr>
          <w:p w14:paraId="345066E3" w14:textId="58AE0A84" w:rsidR="00B43731" w:rsidRDefault="00B43731" w:rsidP="00B43731">
            <w:r>
              <w:t>To provide the GCB with its credible intended recruitment plans with demonstratable funding of key roles for CCO, CTO and CFO and in the case of the CCO to ensure that (</w:t>
            </w:r>
            <w:proofErr w:type="spellStart"/>
            <w:r>
              <w:t>i</w:t>
            </w:r>
            <w:proofErr w:type="spellEnd"/>
            <w:r>
              <w:t xml:space="preserve">) AML experience is addressed and (ii) to provide assurances that Stylianos Andreau will not undertake that role. </w:t>
            </w:r>
          </w:p>
          <w:p w14:paraId="3544DBAC" w14:textId="77777777" w:rsidR="00B43731" w:rsidRDefault="00B43731" w:rsidP="00B43731"/>
        </w:tc>
        <w:tc>
          <w:tcPr>
            <w:tcW w:w="3037" w:type="dxa"/>
          </w:tcPr>
          <w:p w14:paraId="2DAC1D1E" w14:textId="1B30727E" w:rsidR="00B43731" w:rsidRDefault="00B43731" w:rsidP="00B43731">
            <w:pPr>
              <w:jc w:val="both"/>
            </w:pPr>
            <w:r>
              <w:t>Four weeks after the date of this letter</w:t>
            </w:r>
          </w:p>
        </w:tc>
      </w:tr>
      <w:tr w:rsidR="00B43731" w14:paraId="4FEF6ED3" w14:textId="77777777" w:rsidTr="0058170C">
        <w:trPr>
          <w:trHeight w:val="663"/>
        </w:trPr>
        <w:tc>
          <w:tcPr>
            <w:tcW w:w="1129" w:type="dxa"/>
          </w:tcPr>
          <w:p w14:paraId="1CDD3695" w14:textId="640C1C19" w:rsidR="00B43731" w:rsidRDefault="00757EF0" w:rsidP="00B43731">
            <w:pPr>
              <w:jc w:val="both"/>
            </w:pPr>
            <w:r>
              <w:t>6</w:t>
            </w:r>
          </w:p>
        </w:tc>
        <w:tc>
          <w:tcPr>
            <w:tcW w:w="4945" w:type="dxa"/>
          </w:tcPr>
          <w:p w14:paraId="6D83B1D1" w14:textId="3A18BC30" w:rsidR="00B43731" w:rsidRDefault="00EC2693" w:rsidP="00B43731">
            <w:r>
              <w:t>All outstanding tickets not superseded by the license conditions are satisfied</w:t>
            </w:r>
          </w:p>
        </w:tc>
        <w:tc>
          <w:tcPr>
            <w:tcW w:w="3037" w:type="dxa"/>
          </w:tcPr>
          <w:p w14:paraId="704987E6" w14:textId="1CA5DD48" w:rsidR="00B43731" w:rsidRDefault="00EC2693" w:rsidP="00B43731">
            <w:pPr>
              <w:jc w:val="both"/>
            </w:pPr>
            <w:r>
              <w:t>Four weeks after the date of this letter</w:t>
            </w:r>
          </w:p>
        </w:tc>
      </w:tr>
      <w:tr w:rsidR="00055B10" w14:paraId="49E6A521" w14:textId="77777777" w:rsidTr="0058170C">
        <w:trPr>
          <w:trHeight w:val="663"/>
        </w:trPr>
        <w:tc>
          <w:tcPr>
            <w:tcW w:w="1129" w:type="dxa"/>
          </w:tcPr>
          <w:p w14:paraId="2F7B80A0" w14:textId="4DC3AC0E" w:rsidR="00055B10" w:rsidRDefault="00757EF0" w:rsidP="00055B10">
            <w:pPr>
              <w:jc w:val="both"/>
            </w:pPr>
            <w:r>
              <w:t>7</w:t>
            </w:r>
          </w:p>
        </w:tc>
        <w:tc>
          <w:tcPr>
            <w:tcW w:w="4945" w:type="dxa"/>
          </w:tcPr>
          <w:p w14:paraId="4BCF6768" w14:textId="25038396" w:rsidR="00055B10" w:rsidRDefault="00055B10" w:rsidP="00055B10">
            <w:pPr>
              <w:rPr>
                <w:b/>
              </w:rPr>
            </w:pPr>
            <w:r>
              <w:t>Provide the GCB with clear disclosure reflected in its terms and conditions in connection with blocked jurisdictions.</w:t>
            </w:r>
          </w:p>
          <w:p w14:paraId="30024A26" w14:textId="77777777" w:rsidR="00055B10" w:rsidRDefault="00055B10" w:rsidP="00055B10"/>
        </w:tc>
        <w:tc>
          <w:tcPr>
            <w:tcW w:w="3037" w:type="dxa"/>
          </w:tcPr>
          <w:p w14:paraId="62E36D58" w14:textId="32210A05" w:rsidR="00055B10" w:rsidRDefault="00055B10" w:rsidP="00055B10">
            <w:pPr>
              <w:jc w:val="both"/>
            </w:pPr>
            <w:r>
              <w:t>Six weeks after the date of this letter</w:t>
            </w:r>
          </w:p>
        </w:tc>
      </w:tr>
      <w:tr w:rsidR="00055B10" w14:paraId="2077CAB2" w14:textId="77777777" w:rsidTr="0058170C">
        <w:trPr>
          <w:trHeight w:val="663"/>
        </w:trPr>
        <w:tc>
          <w:tcPr>
            <w:tcW w:w="1129" w:type="dxa"/>
          </w:tcPr>
          <w:p w14:paraId="126048A1" w14:textId="00398AFF" w:rsidR="00055B10" w:rsidRDefault="00757EF0" w:rsidP="00055B10">
            <w:pPr>
              <w:jc w:val="both"/>
            </w:pPr>
            <w:r>
              <w:lastRenderedPageBreak/>
              <w:t>8</w:t>
            </w:r>
          </w:p>
        </w:tc>
        <w:tc>
          <w:tcPr>
            <w:tcW w:w="4945" w:type="dxa"/>
          </w:tcPr>
          <w:p w14:paraId="2F177775" w14:textId="55BFF7C8" w:rsidR="005E49A0" w:rsidRDefault="005E49A0" w:rsidP="005E49A0">
            <w:pPr>
              <w:rPr>
                <w:b/>
              </w:rPr>
            </w:pPr>
            <w:r>
              <w:t>Provide updated AML policies that are Curacao law compliant as well as its crypto use risk policy.</w:t>
            </w:r>
          </w:p>
          <w:p w14:paraId="12CF1358" w14:textId="77777777" w:rsidR="00055B10" w:rsidRDefault="00055B10" w:rsidP="005E49A0"/>
        </w:tc>
        <w:tc>
          <w:tcPr>
            <w:tcW w:w="3037" w:type="dxa"/>
          </w:tcPr>
          <w:p w14:paraId="2D25DC0E" w14:textId="206983F4" w:rsidR="00055B10" w:rsidRDefault="005E49A0" w:rsidP="00055B10">
            <w:pPr>
              <w:jc w:val="both"/>
            </w:pPr>
            <w:r>
              <w:t>Twelve weeks after the date of this letter</w:t>
            </w:r>
          </w:p>
        </w:tc>
      </w:tr>
    </w:tbl>
    <w:p w14:paraId="2AAC6A4B" w14:textId="77777777" w:rsidR="00C6675C" w:rsidRDefault="00C6675C" w:rsidP="0058170C">
      <w:pPr>
        <w:jc w:val="both"/>
      </w:pPr>
    </w:p>
    <w:sectPr w:rsidR="00C667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D3BAB"/>
    <w:multiLevelType w:val="multilevel"/>
    <w:tmpl w:val="3170E216"/>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color w:val="auto"/>
      </w:rPr>
    </w:lvl>
    <w:lvl w:ilvl="3">
      <w:start w:val="1"/>
      <w:numFmt w:val="decimal"/>
      <w:lvlText w:val="%1.%2.%3.%4."/>
      <w:lvlJc w:val="left"/>
      <w:pPr>
        <w:ind w:left="648" w:hanging="648"/>
      </w:pPr>
      <w:rPr>
        <w:b w:val="0"/>
        <w:i w:val="0"/>
      </w:rPr>
    </w:lvl>
    <w:lvl w:ilvl="4">
      <w:start w:val="1"/>
      <w:numFmt w:val="decimal"/>
      <w:lvlText w:val="%1.%2.%3.%4.%5."/>
      <w:lvlJc w:val="left"/>
      <w:pPr>
        <w:ind w:left="2232" w:hanging="792"/>
      </w:pPr>
      <w:rPr>
        <w:b/>
      </w:rPr>
    </w:lvl>
    <w:lvl w:ilvl="5">
      <w:start w:val="1"/>
      <w:numFmt w:val="decimal"/>
      <w:lvlText w:val="%1.%2.%3.%4.%5.%6."/>
      <w:lvlJc w:val="left"/>
      <w:pPr>
        <w:ind w:left="2736" w:hanging="935"/>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1" w15:restartNumberingAfterBreak="0">
    <w:nsid w:val="095A61FF"/>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2" w15:restartNumberingAfterBreak="0">
    <w:nsid w:val="156C7BB8"/>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3" w15:restartNumberingAfterBreak="0">
    <w:nsid w:val="1B472F32"/>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4" w15:restartNumberingAfterBreak="0">
    <w:nsid w:val="405A6DEA"/>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5" w15:restartNumberingAfterBreak="0">
    <w:nsid w:val="5CFA2773"/>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6" w15:restartNumberingAfterBreak="0">
    <w:nsid w:val="5D861609"/>
    <w:multiLevelType w:val="multilevel"/>
    <w:tmpl w:val="5CFCC9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 w15:restartNumberingAfterBreak="0">
    <w:nsid w:val="60DE7113"/>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8" w15:restartNumberingAfterBreak="0">
    <w:nsid w:val="6C206042"/>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9" w15:restartNumberingAfterBreak="0">
    <w:nsid w:val="6F11345C"/>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num w:numId="1" w16cid:durableId="1231967407">
    <w:abstractNumId w:val="6"/>
  </w:num>
  <w:num w:numId="2" w16cid:durableId="1330599034">
    <w:abstractNumId w:val="3"/>
  </w:num>
  <w:num w:numId="3" w16cid:durableId="1786118801">
    <w:abstractNumId w:val="2"/>
  </w:num>
  <w:num w:numId="4" w16cid:durableId="1925451018">
    <w:abstractNumId w:val="4"/>
  </w:num>
  <w:num w:numId="5" w16cid:durableId="1590965831">
    <w:abstractNumId w:val="1"/>
  </w:num>
  <w:num w:numId="6" w16cid:durableId="1009990332">
    <w:abstractNumId w:val="8"/>
  </w:num>
  <w:num w:numId="7" w16cid:durableId="1239293856">
    <w:abstractNumId w:val="9"/>
  </w:num>
  <w:num w:numId="8" w16cid:durableId="404498114">
    <w:abstractNumId w:val="5"/>
  </w:num>
  <w:num w:numId="9" w16cid:durableId="1880437643">
    <w:abstractNumId w:val="7"/>
  </w:num>
  <w:num w:numId="10" w16cid:durableId="107940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75C"/>
    <w:rsid w:val="00055B10"/>
    <w:rsid w:val="000E5913"/>
    <w:rsid w:val="00230ECB"/>
    <w:rsid w:val="002911D3"/>
    <w:rsid w:val="003477F2"/>
    <w:rsid w:val="00373BA5"/>
    <w:rsid w:val="003B3C96"/>
    <w:rsid w:val="004D3393"/>
    <w:rsid w:val="004D5F45"/>
    <w:rsid w:val="0054781F"/>
    <w:rsid w:val="0058170C"/>
    <w:rsid w:val="005E49A0"/>
    <w:rsid w:val="006011FB"/>
    <w:rsid w:val="00602F36"/>
    <w:rsid w:val="0068490B"/>
    <w:rsid w:val="006D7984"/>
    <w:rsid w:val="00757EF0"/>
    <w:rsid w:val="007706E6"/>
    <w:rsid w:val="0086035A"/>
    <w:rsid w:val="00965CD9"/>
    <w:rsid w:val="009C3E6F"/>
    <w:rsid w:val="009C7B66"/>
    <w:rsid w:val="00AF1F12"/>
    <w:rsid w:val="00B43731"/>
    <w:rsid w:val="00C1635B"/>
    <w:rsid w:val="00C6675C"/>
    <w:rsid w:val="00C9185E"/>
    <w:rsid w:val="00D005AC"/>
    <w:rsid w:val="00D36733"/>
    <w:rsid w:val="00E05101"/>
    <w:rsid w:val="00E164A5"/>
    <w:rsid w:val="00E9562A"/>
    <w:rsid w:val="00EC2693"/>
    <w:rsid w:val="00F12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3328"/>
  <w15:chartTrackingRefBased/>
  <w15:docId w15:val="{0637059C-335B-4009-BAFC-F2E677CD9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7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7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7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7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75C"/>
    <w:rPr>
      <w:rFonts w:eastAsiaTheme="majorEastAsia" w:cstheme="majorBidi"/>
      <w:color w:val="272727" w:themeColor="text1" w:themeTint="D8"/>
    </w:rPr>
  </w:style>
  <w:style w:type="paragraph" w:styleId="Title">
    <w:name w:val="Title"/>
    <w:basedOn w:val="Normal"/>
    <w:next w:val="Normal"/>
    <w:link w:val="TitleChar"/>
    <w:uiPriority w:val="10"/>
    <w:qFormat/>
    <w:rsid w:val="00C66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75C"/>
    <w:pPr>
      <w:spacing w:before="160"/>
      <w:jc w:val="center"/>
    </w:pPr>
    <w:rPr>
      <w:i/>
      <w:iCs/>
      <w:color w:val="404040" w:themeColor="text1" w:themeTint="BF"/>
    </w:rPr>
  </w:style>
  <w:style w:type="character" w:customStyle="1" w:styleId="QuoteChar">
    <w:name w:val="Quote Char"/>
    <w:basedOn w:val="DefaultParagraphFont"/>
    <w:link w:val="Quote"/>
    <w:uiPriority w:val="29"/>
    <w:rsid w:val="00C6675C"/>
    <w:rPr>
      <w:i/>
      <w:iCs/>
      <w:color w:val="404040" w:themeColor="text1" w:themeTint="BF"/>
    </w:rPr>
  </w:style>
  <w:style w:type="paragraph" w:styleId="ListParagraph">
    <w:name w:val="List Paragraph"/>
    <w:basedOn w:val="Normal"/>
    <w:uiPriority w:val="1"/>
    <w:qFormat/>
    <w:rsid w:val="00C6675C"/>
    <w:pPr>
      <w:ind w:left="720"/>
      <w:contextualSpacing/>
    </w:pPr>
  </w:style>
  <w:style w:type="character" w:styleId="IntenseEmphasis">
    <w:name w:val="Intense Emphasis"/>
    <w:basedOn w:val="DefaultParagraphFont"/>
    <w:uiPriority w:val="21"/>
    <w:qFormat/>
    <w:rsid w:val="00C6675C"/>
    <w:rPr>
      <w:i/>
      <w:iCs/>
      <w:color w:val="0F4761" w:themeColor="accent1" w:themeShade="BF"/>
    </w:rPr>
  </w:style>
  <w:style w:type="paragraph" w:styleId="IntenseQuote">
    <w:name w:val="Intense Quote"/>
    <w:basedOn w:val="Normal"/>
    <w:next w:val="Normal"/>
    <w:link w:val="IntenseQuoteChar"/>
    <w:uiPriority w:val="30"/>
    <w:qFormat/>
    <w:rsid w:val="00C66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75C"/>
    <w:rPr>
      <w:i/>
      <w:iCs/>
      <w:color w:val="0F4761" w:themeColor="accent1" w:themeShade="BF"/>
    </w:rPr>
  </w:style>
  <w:style w:type="character" w:styleId="IntenseReference">
    <w:name w:val="Intense Reference"/>
    <w:basedOn w:val="DefaultParagraphFont"/>
    <w:uiPriority w:val="32"/>
    <w:qFormat/>
    <w:rsid w:val="00C6675C"/>
    <w:rPr>
      <w:b/>
      <w:bCs/>
      <w:smallCaps/>
      <w:color w:val="0F4761" w:themeColor="accent1" w:themeShade="BF"/>
      <w:spacing w:val="5"/>
    </w:rPr>
  </w:style>
  <w:style w:type="table" w:styleId="TableGrid">
    <w:name w:val="Table Grid"/>
    <w:basedOn w:val="TableNormal"/>
    <w:uiPriority w:val="39"/>
    <w:rsid w:val="00C66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Sarona Taylor</dc:creator>
  <cp:keywords/>
  <dc:description/>
  <cp:lastModifiedBy>Simon Burden</cp:lastModifiedBy>
  <cp:revision>2</cp:revision>
  <dcterms:created xsi:type="dcterms:W3CDTF">2024-06-30T15:27:00Z</dcterms:created>
  <dcterms:modified xsi:type="dcterms:W3CDTF">2024-06-30T15:27:00Z</dcterms:modified>
</cp:coreProperties>
</file>